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кардиология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кардиология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Детская кардиология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13 лет экстренно поступил в стационар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ухудшение самочувствия, слабость, вялость, однократную рвоту, рецидивирующие синкопальные состояния в течение последних суток до госпитализации.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пациента при рождении диагностирован врожденный порок сердца: единственный двуприточный желудочек сердца, мальпозиция магистральных сосудов, небольшой субаортальный стеноз, рестриктивный дефект бульбовентрикулярной перегородки, дефект межпредсердной перегородки, коарктация аорты.</w:t>
      </w:r>
    </w:p>
    <w:p>
      <w:pPr>
        <w:spacing w:after="58"/>
      </w:pPr>
      <w:r>
        <w:rPr>
          <w:b w:val="0"/>
          <w:i w:val="0"/>
        </w:rPr>
        <w:t>Пациенту проведена многоэтапная паллиативная хирургическая коррекция</w:t>
      </w:r>
    </w:p>
    <w:p>
      <w:pPr>
        <w:spacing w:after="58"/>
      </w:pPr>
      <w:r>
        <w:rPr>
          <w:b w:val="0"/>
          <w:i w:val="0"/>
        </w:rPr>
        <w:t>В 6 месяцев: суживание легочной артерии, устранение коарктации аорты. В 6 лет наложение верхнего кавапульмонального анастомоза (операция Глена) В 10 лет наложение анастомоз между легочной артерией и нижней полой веной с помощью кондуита Gore-Тex (24 мм), расширение дефекта бульбовентрикулярной перегородки. В раннем послеоперационном периоде отмечалась полная АВ блокада, по поводу которой находился на ВЭКС с последующей имплантацией постоянного двухкамерного эпикардиального ЭКС</w:t>
      </w:r>
    </w:p>
    <w:p>
      <w:pPr>
        <w:spacing w:after="58"/>
      </w:pPr>
      <w:r>
        <w:rPr>
          <w:b w:val="0"/>
          <w:i w:val="0"/>
        </w:rPr>
        <w:t>В настоящее время получает комбинированную терапию ХСН (лозартан 6,25 мг 2 раза в сутки, спиронолактон 1 мг/кг/сут) и ацетилсалициловую кислоту 2 мг/кг/сут</w:t>
      </w:r>
    </w:p>
    <w:p>
      <w:pPr>
        <w:spacing w:after="58"/>
      </w:pPr>
      <w:r>
        <w:rPr>
          <w:b w:val="0"/>
          <w:i w:val="0"/>
        </w:rPr>
        <w:t>Со слов матери накануне упал и ударился областью живота. До данного эпизода предъявлял только жалобы на снижение толерантности к физической нагрузке, одышку при интенсивной физической нагрузке без отрицательной динамики в течение последних 2 лет.</w:t>
      </w:r>
    </w:p>
    <w:p>
      <w:pPr>
        <w:spacing w:after="58"/>
      </w:pPr>
      <w:r>
        <w:rPr>
          <w:b w:val="0"/>
          <w:i w:val="0"/>
        </w:rPr>
        <w:t>На ЭКГ в приемном отделении (25 мм/сек):</w:t>
      </w:r>
    </w:p>
    <w:p>
      <w:r>
        <w:drawing>
          <wp:inline xmlns:a="http://schemas.openxmlformats.org/drawingml/2006/main" xmlns:pic="http://schemas.openxmlformats.org/drawingml/2006/picture">
            <wp:extent cx="5303520" cy="128610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6b78a8b2f0a8cede84db1e1dc653e4293f74c89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861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r>
        <w:drawing>
          <wp:inline xmlns:a="http://schemas.openxmlformats.org/drawingml/2006/main" xmlns:pic="http://schemas.openxmlformats.org/drawingml/2006/picture">
            <wp:extent cx="5303520" cy="105407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69401cb966bc703f2d6240582a6bf9b3886a3d8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0540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r>
        <w:drawing>
          <wp:inline xmlns:a="http://schemas.openxmlformats.org/drawingml/2006/main" xmlns:pic="http://schemas.openxmlformats.org/drawingml/2006/picture">
            <wp:extent cx="5303520" cy="142083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99556093960c120710a0b8f1d403b73ee4e2b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42083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протекавшей на фоне токсикоза в 1 триместре, ОРВИ на 8/9 неделе беременности (острый ринит)</w:t>
      </w:r>
    </w:p>
    <w:p>
      <w:pPr>
        <w:spacing w:after="58"/>
      </w:pPr>
      <w:r>
        <w:rPr>
          <w:b w:val="0"/>
          <w:i w:val="0"/>
        </w:rPr>
        <w:t>* Роды 2, срочные, Кесарево сечение</w:t>
      </w:r>
    </w:p>
    <w:p>
      <w:pPr>
        <w:spacing w:after="58"/>
      </w:pPr>
      <w:r>
        <w:rPr>
          <w:b w:val="0"/>
          <w:i w:val="0"/>
        </w:rPr>
        <w:t>* Длина тела при рождении 54 см, масса тела при рождении 3200 гр. Апгар 8/9 баллов</w:t>
      </w:r>
    </w:p>
    <w:p>
      <w:pPr>
        <w:spacing w:after="58"/>
      </w:pPr>
      <w:r>
        <w:rPr>
          <w:b w:val="0"/>
          <w:i w:val="0"/>
        </w:rPr>
        <w:t>* На 1 году жизни наблюдался неврологом с диагнозом: гипоксически-ишемическое поражение ЦНС</w:t>
      </w:r>
    </w:p>
    <w:p>
      <w:pPr>
        <w:spacing w:after="58"/>
      </w:pPr>
      <w:r>
        <w:rPr>
          <w:b w:val="0"/>
          <w:i w:val="0"/>
        </w:rPr>
        <w:t>* Перенесенные заболевания: ОРВИ 6-8 раз в год. Фолликулярная ангина в 8 лет</w:t>
      </w:r>
    </w:p>
    <w:p>
      <w:pPr>
        <w:spacing w:after="58"/>
      </w:pPr>
      <w:r>
        <w:rPr>
          <w:b w:val="0"/>
          <w:i w:val="0"/>
        </w:rPr>
        <w:t>* Операции, травмы: отрицает</w:t>
      </w:r>
    </w:p>
    <w:p>
      <w:pPr>
        <w:spacing w:after="58"/>
      </w:pPr>
      <w:r>
        <w:rPr>
          <w:b w:val="0"/>
          <w:i w:val="0"/>
        </w:rPr>
        <w:t>* Привит по возрасту согласно Национальному календарю профилактических прививок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состояние тяжелое. Сознание спутанное. Рост 154 см. Вес 64 кг. Не лихорадит. Кожные покровы бледные, чистые. В легких дыхание жесткое, проводится равномерно во все отделы, хрипов нет. ЧД 24 в мин. SpO2 88%. Пульс слабого наполнения. Тоны сердца приглушены, аритмичные. ЧСС 28-36 в мин. АД 90/50 мм рт. ст. Живот мягкий, доступен глубокой пальпации, симптомов мышечной защиты нет. В области левого подреберья пальпируется корпус ЭКС, кожные покровы над корпусом не изменены, патологической подвижности, болезненности при пальпации нет. Печень +1.5 см из-под реберной дуги. Селезенка не увеличена. Диурез со слов матери до госпитализации адекватный.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основании данных анамнеза, объективного осмотра и электрокардиографии наиболее вероятной причиной синкопальных состояний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полная атриовентрикулярная блокада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блокированная предсердная экстрасистолия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слабости синусового узла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диссоциация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полная атриовентрикулярная блокада</w:t>
      </w:r>
    </w:p>
    <w:p>
      <w:pPr>
        <w:ind w:left="504"/>
      </w:pPr>
      <w:r>
        <w:rPr>
          <w:b w:val="0"/>
          <w:i/>
        </w:rPr>
        <w:t>При полной АВ блокаде импульсы из предсердия полностью не проводятся к желудочкам. Поэтому предсердия и желудочки сокращаются независимо друг от друга, каждые в своем ритме: предсердия в более частом, чаще всего в результате импульсации из синусового узла, а желудочки - в ритме АВ соединения. При этом определяется довольно выраженная желудочковая брадикардия, и ритм желудочков, как правило, ригидный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лабораторными методами обследования для уточнения причины возникновения полной атриовентрикулярной блокады у детей является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бактериологического анализа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биохимического анализа крови с оценкой уровня электролитов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определения уровня ревматоидного фактора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определения уровня железа 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определения маркёров повреждения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бактериологического анализа; биохимического анализа крови с оценкой уровня электролитов; определения маркёров повреждения миокарда</w:t>
      </w:r>
    </w:p>
    <w:p>
      <w:pPr>
        <w:ind w:left="504"/>
      </w:pPr>
      <w:r>
        <w:rPr>
          <w:b w:val="0"/>
          <w:i/>
        </w:rPr>
        <w:t>Рекомендуется проведение бактериологического анализа и/или иммуноферментного анализа и/или диагностики с использованием полимеразноцепной реакции (ПЦР) Уровень убедительности рекомендаций 2 (уровень достоверности доказательств – А). Выполняется с целью верификации возбудителя вероятного текущего инфекционного процесса (аденовирусы, парвовирусы, вирус Эпштейна-Барр, вирусы кори и краснухи, цитомегаловирус, герпесвирусы, вирус иммунодефицита человека, стафилококки, стрептококки, бактерии дифтерии, клещевого энцефалита, болезни Лайма).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биохимический анализ крови с оценкой уровня электролитов Уровень убедительности рекомендаций 2 (уровень достоверности доказательств – А). Выполняется у пациентов с АВ блокадами для исключения электролитных нарушений (гиперкалиемия и гиперкальциемия)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биохимический анализ крови с оценкой уровня электролитов и маркёров повреждения миокарда (креатинфосфокинза-МВ фракция, тропонин I, белоксвязывающие жирные кислоты, лактатдегидрогеназа). Уровень убедительности рекомендаций 2 (уровень достоверности доказательств – А). Выполняется у пациентов с АВ блокадами для исключения электролитных нарушений (гиперкалиемия и гиперкальциемия) и оценки степени повреждения миокарда.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лабораторных методов обследования</w:t>
      </w:r>
    </w:p>
    <w:p>
      <w:pPr>
        <w:pStyle w:val="Heading3"/>
      </w:pPr>
      <w:r>
        <w:t>4.1. Биохимический анализ крови с оценкой уровня электролитов</w:t>
      </w:r>
    </w:p>
    <w:p>
      <w:pPr>
        <w:spacing w:after="58"/>
      </w:pPr>
      <w:r>
        <w:rPr>
          <w:b w:val="0"/>
          <w:i w:val="0"/>
        </w:rPr>
        <w:t>СРб 2,7 мг/л, общий белок 67 г/л, глюкоза 4,5 ммоль/л, билирубин 14,7 мкмоль/л, АЛТ 11 ед/л, АСТ 18 ед/л, калий 4,5 ммоль/л, натрий 134 ммоль/л, холестерин 3,1 ммоль/л, креатинин 72 мкмоль/л, мочевина 6,8 ммоль/л, магний 0,75 ммоль/л, кальций общий 2,1 ммоль/л, кальций ионизированный 1,21 ммоль/л/л</w:t>
      </w:r>
    </w:p>
    <w:p>
      <w:pPr>
        <w:pStyle w:val="Heading3"/>
      </w:pPr>
      <w:r>
        <w:t>4.2. Бактериологический анализ</w:t>
      </w:r>
    </w:p>
    <w:p>
      <w:pPr>
        <w:spacing w:after="58"/>
      </w:pPr>
      <w:r>
        <w:rPr>
          <w:b w:val="0"/>
          <w:i w:val="0"/>
        </w:rPr>
        <w:t>Культуральный посев мазка и зева:</w:t>
      </w:r>
    </w:p>
    <w:p>
      <w:pPr>
        <w:spacing w:after="58"/>
      </w:pPr>
      <w:r>
        <w:rPr>
          <w:b w:val="0"/>
          <w:i w:val="0"/>
        </w:rPr>
        <w:t>При посеве выделены: Streptococcus salivarius умеренный рост</w:t>
      </w:r>
    </w:p>
    <w:p>
      <w:pPr>
        <w:spacing w:after="58"/>
      </w:pPr>
      <w:r>
        <w:rPr>
          <w:b w:val="0"/>
          <w:i w:val="0"/>
        </w:rPr>
        <w:t>Культуральный посев мазка из носа: роста микроорганизмов нет.</w:t>
      </w:r>
    </w:p>
    <w:p>
      <w:pPr>
        <w:spacing w:after="58"/>
      </w:pPr>
      <w:r>
        <w:rPr>
          <w:b w:val="0"/>
          <w:i w:val="0"/>
        </w:rPr>
        <w:t>Посев крови: роста микроорганизмов нет.</w:t>
      </w:r>
    </w:p>
    <w:p>
      <w:pPr>
        <w:pStyle w:val="Heading3"/>
      </w:pPr>
      <w:r>
        <w:t>4.3. Определение маркёров повреждения миокарда</w:t>
      </w:r>
    </w:p>
    <w:p>
      <w:pPr>
        <w:spacing w:after="58"/>
      </w:pPr>
      <w:r>
        <w:rPr>
          <w:b w:val="0"/>
          <w:i w:val="0"/>
        </w:rPr>
        <w:t>Лактатдегидрогеназа 221 Ед/л (125 - 220)</w:t>
      </w:r>
    </w:p>
    <w:p>
      <w:pPr>
        <w:spacing w:after="58"/>
      </w:pPr>
      <w:r>
        <w:rPr>
          <w:b w:val="0"/>
          <w:i w:val="0"/>
        </w:rPr>
        <w:t>Креатинфосфокиназа-МВ 20.1 Ед/л (0.0 - 24.0)</w:t>
      </w:r>
    </w:p>
    <w:p>
      <w:pPr>
        <w:spacing w:after="58"/>
      </w:pPr>
      <w:r>
        <w:rPr>
          <w:b w:val="0"/>
          <w:i w:val="0"/>
        </w:rPr>
        <w:t>Креатинкиназа общая 84 Ед/л (30.0 - 200.0)</w:t>
      </w:r>
    </w:p>
    <w:p>
      <w:pPr>
        <w:spacing w:after="58"/>
      </w:pPr>
      <w:r>
        <w:rPr>
          <w:b w:val="0"/>
          <w:i w:val="0"/>
        </w:rPr>
        <w:t>Тропонин I 0.001 нг/мл (0.0000 - 0.0340)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для оценки состояния и причины выявленных изменений инструментальным методам обследования у данного пациента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рентгенограмму органов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эхокардиографию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суточное мониторирование АД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электроэнцефалографию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рентгенограмму органов грудной клетки; эхокардиографию</w:t>
      </w:r>
    </w:p>
    <w:p>
      <w:pPr>
        <w:ind w:left="504"/>
      </w:pPr>
      <w:r>
        <w:rPr>
          <w:b w:val="0"/>
          <w:i/>
        </w:rPr>
        <w:t>Рентгенография грудной клетки проводится для оценки позиции, целостности и запаса длины электрода (электродов), выявления возможного их натяжения или смещения (дислокации). Как правило, данное исследование проводится в условиях кардиохирургического стационара либо в условиях поликлиники при подозрении на нарушение работы ЭКС</w:t>
        <w:br/>
        <w:br/>
        <w:t>Электрокардиостимуляция в детском возрасте / Д.Ф. Егоров, О.Л. Гордеев, А.В. Адрианов, Е.С. Васичкина, Т.К. Кручина, С.В. Гуреев, Е.С. Анцупова // Диагностика и лечение пациентов с имплантированными антиаритмическими устройствами / Д.Ф. Егоров, О.Л. Гордеев. – СПб.: Человек, 2006. – Гл. 5. – С. 88–112</w:t>
      </w:r>
    </w:p>
    <w:p>
      <w:pPr>
        <w:ind w:left="504"/>
      </w:pPr>
      <w:r>
        <w:rPr>
          <w:b w:val="0"/>
          <w:i/>
        </w:rPr>
        <w:t>Рекомендуется проведение эхокардиографии (ЭхоКГ). Уровень убедительности рекомендаций 1 (уровень достоверности доказательств – А. Цель проведения данного исследования - это диагностика признаков аритмогенной кардиомиопатии. Под аритмогенной кардиомиопатией подразумевают вторичную обратимую дисфункцию миокарда, проявляющуюся дилатацией всех полостей, начиная с предсердных камер, с последующим снижением сократительной способности миокарда желудочков, возникновением относительной митральной регургитации и развитием застойной сердечной недостаточности.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инструментальных методов обследования</w:t>
      </w:r>
    </w:p>
    <w:p>
      <w:pPr>
        <w:pStyle w:val="Heading3"/>
      </w:pPr>
      <w:r>
        <w:t>6.1. Рентгенограмма органов грудной клетки</w:t>
      </w:r>
    </w:p>
    <w:p>
      <w:pPr>
        <w:spacing w:after="58"/>
      </w:pPr>
      <w:r>
        <w:rPr>
          <w:b w:val="0"/>
          <w:i w:val="0"/>
        </w:rPr>
        <w:t>Легкие расправлены. Очаговых и инфильтративных изменений не выявлено. Корни не расширены. Тень сердца расширена в поперечнике КТИ 59%. Синусы свободны. Контур диафрагмы четкий Переломы электродов не визуализируются</w:t>
      </w:r>
    </w:p>
    <w:p>
      <w:pPr>
        <w:pStyle w:val="Heading3"/>
      </w:pPr>
      <w:r>
        <w:t>6.2. Эхокардиография</w:t>
      </w:r>
    </w:p>
    <w:p>
      <w:pPr>
        <w:spacing w:after="58"/>
      </w:pPr>
      <w:r>
        <w:rPr>
          <w:b w:val="0"/>
          <w:i w:val="0"/>
        </w:rPr>
        <w:t>КДР ЕЖ 58 мм. ФВ ЕЖ 56%, скорость на анастомозах удовлетворительная, недостаточность на АВ клапанах 1 степени. Тромбы в полостях отчетливо не визуализируются.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вероятной причиной развития нарушений ритма сердца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Нарушение в работе электрокардиостимулятора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электролитных нарушений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Дисфункция анастомозов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миокардит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в работе электрокардиостимулятора</w:t>
      </w:r>
    </w:p>
    <w:p>
      <w:pPr>
        <w:ind w:left="504"/>
      </w:pPr>
      <w:r>
        <w:rPr>
          <w:b w:val="0"/>
          <w:i/>
        </w:rPr>
        <w:t>Имплантация водителя ритма нечасто ассоциируется с развитием предобморочных состояний или обмороков. В большинстве случае обморок не связан с работой водителя ритма. Однако его причинами являются истощение заряда батарейки или нарушение функции электродов.</w:t>
        <w:br/>
        <w:br/>
        <w:t>Учитывая длительный срок с момента имплантации (8 лет), отсутствие артефактов стимулов на ЭКГ, отсутствие данных о предыдущем программировании ЭКС, описанный факт травмы возможно истощение батареи ЭКС, повреждение электронной схемы ЭКС, повреждение электрода, плохой контакт электрода с аппаратной частью стимулятора</w:t>
        <w:br/>
        <w:br/>
        <w:t>Учитывая состояние после многоэтапной хирургической коррекции ВПС, возможно повышение порога стимуляции и блокада выхода стимула с электрода ЭКС, однако, на ЭКГ отсутствуют артефакты работы ЭКС</w:t>
        <w:br/>
        <w:br/>
        <w:t>Рекомендации ВНОА по проведению клинических электрофизиологических исследований, катетерной (радиочастотной) абляции и применению имплантируемых антиаритмических устройств, 2017. с 279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Нарушение в работе электрокардиостимулятора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приступов Морганьи-Адамса-Стокса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аритмогенная кардиомиопатия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тромбообразование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идиовентрикулярный желудочковый ритм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приступов Морганьи-Адамса-Стокса</w:t>
      </w:r>
    </w:p>
    <w:p>
      <w:pPr>
        <w:ind w:left="504"/>
      </w:pPr>
      <w:r>
        <w:rPr>
          <w:b w:val="0"/>
          <w:i/>
        </w:rPr>
        <w:t>Приступы потери сознания (синдром Морганьи-Адамса-Стокса) являются самым выраженным клиническим проявлением АВ блокадыII-III степени. Причиной потери сознания являются длительные периоды асистолии желудочков, т. е. периоды отсутствия эффективных сокращений желудочков, возникающие в результате перехода АВ блокады II степени в полную АВ блокаду, когда еще не начал функционировать новый эктопический водитель ритма желудочков, расположенный ниже уровня блокады. Асистолия желудочков может развиться и при резком угнетении автоматизма эктопических центров II и III порядка при блокаде III степени.</w:t>
        <w:br/>
        <w:br/>
      </w:r>
      <w:hyperlink r:id="rId17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купирования критической брадикардии в неотложных ситуациях применяется +______________+ внутривенно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атропина сульфат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аденозин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дексаметазон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s.glucosae 40%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атропина сульфат</w:t>
      </w:r>
    </w:p>
    <w:p>
      <w:pPr>
        <w:ind w:left="504"/>
      </w:pPr>
      <w:r>
        <w:rPr>
          <w:b w:val="0"/>
          <w:i/>
        </w:rPr>
        <w:t>Рекомендуется назначение блокаторов М–холинергических рецепторов, стимуляторов β-адренергических рецепторов. (Сила рекомендаций – 1; достоверность доказательств – В). Цель медикаментозной терапии - купирование критической брадикардии в неотложных ситуациях в любом возрасте.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Максимальная общая доза Атропина сульфата для подростков составляет +___+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Атропина сульфат (Атропина сульфат) – препарата вводится в экстренных случаях внутривенно в дозе 0,02-0,04 мг/кг (минимальная разовая доза 0,1 мг). Доза может быть введена повторно каждые 5 минут до максимальной общей дозы 1 мг у детей и 2 мг у подростков.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Программирование выявило истощение батареи электрокардиостимулятора. Пациенту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провести экстренную ревизию органов средостения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заменить электрокардиостимулятор в экстренном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провести повторное программирование через 6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заменить электрокардиостимулятор в экстренном порядке</w:t>
      </w:r>
    </w:p>
    <w:p>
      <w:pPr>
        <w:ind w:left="504"/>
      </w:pPr>
      <w:r>
        <w:rPr>
          <w:b w:val="0"/>
          <w:i/>
        </w:rPr>
        <w:t>Имплантация водителя ритма нечасто ассоциируется с развитием</w:t>
        <w:br/>
        <w:br/>
        <w:t>предобморочных состояний или обмороков. В большинстве случае обморок не связан с работой водителя ритма. Однако его причинами являются истощение заряда батарейки или нарушение функции электродов. Замена батарейки или электрода позволяет решить проблему.</w:t>
        <w:br/>
        <w:br/>
        <w:t>Рекомендации ВНОА по проведению клинических электрофизиологических исследований, катетерной (радиочастотной) абляции и применению имплантируемых антиаритмических устройств, 2017. с 280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Показаниями к внеплановому стационарному обследованию у пациента с атриовентрикулярной блокадой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вакцинации по эпидемиологическим показаниям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перенесенное интеркуррентное заболевание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прогрессирование АВ блокады в ходе динамического наблюдения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подготовка к хирургическому лечению ЛОР-патологии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прогрессирование АВ блокады в ходе динамического наблюдения</w:t>
      </w:r>
    </w:p>
    <w:p>
      <w:pPr>
        <w:ind w:left="504"/>
      </w:pPr>
      <w:r>
        <w:rPr>
          <w:b w:val="0"/>
          <w:i/>
        </w:rPr>
        <w:t>При прогрессировании АВ блокады в ходе динамического наблюдения и/или появлении симптомов, связанных с брадикардией (утомляемость, головокружение, обмороки) выполняется внеплановое обследование в условиях стационара.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Хирургическим методом лечения полной атриовентрикулярной блокады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имплантация кардиовертера-дефибриллятора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имплантация электрокардиостимулятора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радиочастотная аблация атриовентрикулярного соединения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электростимуляция блуждающего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имплантация электрокардиостимулятора</w:t>
      </w:r>
    </w:p>
    <w:p>
      <w:pPr>
        <w:ind w:left="504"/>
      </w:pPr>
      <w:r>
        <w:rPr>
          <w:b w:val="0"/>
          <w:i/>
        </w:rPr>
        <w:t>Независимо от причины АВ блокады, при появлении симптомов, связанных с брадикардией, проводится хирургическое лечение – имплантация электрокардиостимулятора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Согласно Федеральным клиническим рекомендациям «Атриовентрикулярная (предсердно-желудочковая) блокада у детей» эпикардиальная система для постоянной электрокардиостимуляции имплантируется пациентам с массой тела +_____+ 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менее 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менее 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более 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15</w:t>
      </w:r>
    </w:p>
    <w:p>
      <w:pPr>
        <w:ind w:left="504"/>
      </w:pPr>
      <w:r>
        <w:rPr>
          <w:b w:val="0"/>
          <w:i/>
        </w:rPr>
        <w:t>До достижения веса 15 кг проводится имплантация электрокардиостимулятора с использованием только эпикардиальных электродов. Эндокардиальная имплантация электродов допустима по достижении ребенком массы тела равной 15 кг.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Амбулаторное наблюдение бессимптомных пациентов с атриовентрикулярной блокадой включает выполнение суточного мониторирования ЭКГ и ультразвукового исследования сердца не реже одного раза в +__+ месяцев/месяц/месяца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Дальнейшее амбулаторное наблюдение включает выполнение суточного мониторирования ЭКГ и ультразвукового исследования сердца не реже одного раза год.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Атриовентрикулярная (предсердно-желудочковая) блокада у детей,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png"/><Relationship Id="rId12" Type="http://schemas.openxmlformats.org/officeDocument/2006/relationships/hyperlink" Target="https://library.mededtech.ru/rest/documents/atrioventricular_blockade" TargetMode="External"/><Relationship Id="rId13" Type="http://schemas.openxmlformats.org/officeDocument/2006/relationships/hyperlink" Target="https://library.mededtech.ru/rest/documents/atrioventricular_blockade/#paragraph_0i3m9" TargetMode="External"/><Relationship Id="rId14" Type="http://schemas.openxmlformats.org/officeDocument/2006/relationships/hyperlink" Target="https://library.mededtech.ru/rest/documents/atrioventricular_blockade/#paragraph_20fmr" TargetMode="External"/><Relationship Id="rId15" Type="http://schemas.openxmlformats.org/officeDocument/2006/relationships/hyperlink" Target="https://library.mededtech.ru/rest/documents/atrioventricular_blockade/#paragraph_82cno" TargetMode="External"/><Relationship Id="rId16" Type="http://schemas.openxmlformats.org/officeDocument/2006/relationships/hyperlink" Target="https://library.mededtech.ru/rest/documents/atrioventricular_blockade/#paragraph_95drk" TargetMode="External"/><Relationship Id="rId17" Type="http://schemas.openxmlformats.org/officeDocument/2006/relationships/hyperlink" Target="https://library.mededtech.ru/rest/documents/cr_811/" TargetMode="External"/><Relationship Id="rId18" Type="http://schemas.openxmlformats.org/officeDocument/2006/relationships/hyperlink" Target="https://library.mededtech.ru/rest/documents/cr_811/#paragraph_np9qr" TargetMode="External"/><Relationship Id="rId19" Type="http://schemas.openxmlformats.org/officeDocument/2006/relationships/hyperlink" Target="https://library.mededtech.ru/rest/documents/atrioventricular_blockade/#list_item_tvc5d" TargetMode="External"/><Relationship Id="rId20" Type="http://schemas.openxmlformats.org/officeDocument/2006/relationships/hyperlink" Target="https://library.mededtech.ru/rest/documents/atrioventricular_blockade/#paragraph_bih8i" TargetMode="External"/><Relationship Id="rId21" Type="http://schemas.openxmlformats.org/officeDocument/2006/relationships/hyperlink" Target="https://library.mededtech.ru/rest/documents/atrioventricular_blockade/#paragraph_6m6h6" TargetMode="External"/><Relationship Id="rId22" Type="http://schemas.openxmlformats.org/officeDocument/2006/relationships/hyperlink" Target="https://library.mededtech.ru/rest/documents/atrioventricular_blockade/#paragraph_tfk99" TargetMode="External"/><Relationship Id="rId23" Type="http://schemas.openxmlformats.org/officeDocument/2006/relationships/hyperlink" Target="https://library.mededtech.ru/rest/documents/atrioventricular_blockade/#paragraph_39o0h" TargetMode="External"/><Relationship Id="rId24" Type="http://schemas.openxmlformats.org/officeDocument/2006/relationships/hyperlink" Target="https://library.mededtech.ru/rest/documents/atrioventricular_blockade/#paragraph_70o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